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B0A29" w:rsidRPr="009B0A29" w14:paraId="5C17ABB9" w14:textId="77777777" w:rsidTr="009B0A2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A18C3FF" w14:textId="77777777" w:rsidR="009B0A29" w:rsidRPr="009B0A29" w:rsidRDefault="009B0A29" w:rsidP="009B0A29">
            <w:pPr>
              <w:spacing w:after="0" w:line="240" w:lineRule="atLeast"/>
              <w:rPr>
                <w:rFonts w:eastAsia="Times New Roman" w:cs="Times New Roman"/>
                <w:kern w:val="0"/>
                <w:sz w:val="24"/>
                <w:szCs w:val="24"/>
                <w:lang w:eastAsia="tr-TR"/>
                <w14:ligatures w14:val="none"/>
              </w:rPr>
            </w:pPr>
            <w:r w:rsidRPr="009B0A29">
              <w:rPr>
                <w:rFonts w:ascii="Arial" w:eastAsia="Times New Roman" w:hAnsi="Arial" w:cs="Arial"/>
                <w:kern w:val="0"/>
                <w:sz w:val="16"/>
                <w:szCs w:val="16"/>
                <w:lang w:eastAsia="tr-TR"/>
                <w14:ligatures w14:val="none"/>
              </w:rPr>
              <w:t>18 Ocak 2024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323C948" w14:textId="77777777" w:rsidR="009B0A29" w:rsidRPr="009B0A29" w:rsidRDefault="009B0A29" w:rsidP="009B0A29">
            <w:pPr>
              <w:spacing w:after="0" w:line="240" w:lineRule="atLeast"/>
              <w:jc w:val="center"/>
              <w:rPr>
                <w:rFonts w:eastAsia="Times New Roman" w:cs="Times New Roman"/>
                <w:kern w:val="0"/>
                <w:sz w:val="24"/>
                <w:szCs w:val="24"/>
                <w:lang w:eastAsia="tr-TR"/>
                <w14:ligatures w14:val="none"/>
              </w:rPr>
            </w:pPr>
            <w:r w:rsidRPr="009B0A29">
              <w:rPr>
                <w:rFonts w:ascii="Palatino Linotype" w:eastAsia="Times New Roman" w:hAnsi="Palatino Linotype" w:cs="Times New Roman"/>
                <w:b/>
                <w:bCs/>
                <w:color w:val="800000"/>
                <w:kern w:val="0"/>
                <w:sz w:val="24"/>
                <w:szCs w:val="24"/>
                <w:lang w:eastAsia="tr-TR"/>
                <w14:ligatures w14:val="none"/>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5EED991C" w14:textId="77777777" w:rsidR="009B0A29" w:rsidRPr="009B0A29" w:rsidRDefault="009B0A29" w:rsidP="009B0A29">
            <w:pPr>
              <w:spacing w:before="100" w:beforeAutospacing="1" w:after="100" w:afterAutospacing="1" w:line="240" w:lineRule="auto"/>
              <w:jc w:val="right"/>
              <w:rPr>
                <w:rFonts w:eastAsia="Times New Roman" w:cs="Times New Roman"/>
                <w:kern w:val="0"/>
                <w:sz w:val="24"/>
                <w:szCs w:val="24"/>
                <w:lang w:eastAsia="tr-TR"/>
                <w14:ligatures w14:val="none"/>
              </w:rPr>
            </w:pPr>
            <w:proofErr w:type="gramStart"/>
            <w:r w:rsidRPr="009B0A29">
              <w:rPr>
                <w:rFonts w:ascii="Arial" w:eastAsia="Times New Roman" w:hAnsi="Arial" w:cs="Arial"/>
                <w:kern w:val="0"/>
                <w:sz w:val="16"/>
                <w:szCs w:val="16"/>
                <w:lang w:eastAsia="tr-TR"/>
                <w14:ligatures w14:val="none"/>
              </w:rPr>
              <w:t>Sayı :</w:t>
            </w:r>
            <w:proofErr w:type="gramEnd"/>
            <w:r w:rsidRPr="009B0A29">
              <w:rPr>
                <w:rFonts w:ascii="Arial" w:eastAsia="Times New Roman" w:hAnsi="Arial" w:cs="Arial"/>
                <w:kern w:val="0"/>
                <w:sz w:val="16"/>
                <w:szCs w:val="16"/>
                <w:lang w:eastAsia="tr-TR"/>
                <w14:ligatures w14:val="none"/>
              </w:rPr>
              <w:t xml:space="preserve"> 32433</w:t>
            </w:r>
          </w:p>
        </w:tc>
      </w:tr>
      <w:tr w:rsidR="009B0A29" w:rsidRPr="009B0A29" w14:paraId="5FD35598" w14:textId="77777777" w:rsidTr="009B0A29">
        <w:trPr>
          <w:trHeight w:val="480"/>
        </w:trPr>
        <w:tc>
          <w:tcPr>
            <w:tcW w:w="8789" w:type="dxa"/>
            <w:gridSpan w:val="3"/>
            <w:tcMar>
              <w:top w:w="0" w:type="dxa"/>
              <w:left w:w="108" w:type="dxa"/>
              <w:bottom w:w="0" w:type="dxa"/>
              <w:right w:w="108" w:type="dxa"/>
            </w:tcMar>
            <w:vAlign w:val="center"/>
            <w:hideMark/>
          </w:tcPr>
          <w:p w14:paraId="1323CF45" w14:textId="77777777" w:rsidR="009B0A29" w:rsidRPr="009B0A29" w:rsidRDefault="009B0A29" w:rsidP="009B0A29">
            <w:pPr>
              <w:spacing w:before="100" w:beforeAutospacing="1" w:after="100" w:afterAutospacing="1" w:line="240" w:lineRule="auto"/>
              <w:jc w:val="center"/>
              <w:rPr>
                <w:rFonts w:eastAsia="Times New Roman" w:cs="Times New Roman"/>
                <w:kern w:val="0"/>
                <w:sz w:val="24"/>
                <w:szCs w:val="24"/>
                <w:lang w:eastAsia="tr-TR"/>
                <w14:ligatures w14:val="none"/>
              </w:rPr>
            </w:pPr>
            <w:r w:rsidRPr="009B0A29">
              <w:rPr>
                <w:rFonts w:ascii="Arial" w:eastAsia="Times New Roman" w:hAnsi="Arial" w:cs="Arial"/>
                <w:b/>
                <w:bCs/>
                <w:color w:val="000080"/>
                <w:kern w:val="0"/>
                <w:sz w:val="18"/>
                <w:szCs w:val="18"/>
                <w:lang w:eastAsia="tr-TR"/>
                <w14:ligatures w14:val="none"/>
              </w:rPr>
              <w:t>TEBLİĞ</w:t>
            </w:r>
          </w:p>
        </w:tc>
      </w:tr>
      <w:tr w:rsidR="009B0A29" w:rsidRPr="009B0A29" w14:paraId="1574BC29" w14:textId="77777777" w:rsidTr="009B0A29">
        <w:trPr>
          <w:trHeight w:val="480"/>
        </w:trPr>
        <w:tc>
          <w:tcPr>
            <w:tcW w:w="8789" w:type="dxa"/>
            <w:gridSpan w:val="3"/>
            <w:tcMar>
              <w:top w:w="0" w:type="dxa"/>
              <w:left w:w="108" w:type="dxa"/>
              <w:bottom w:w="0" w:type="dxa"/>
              <w:right w:w="108" w:type="dxa"/>
            </w:tcMar>
            <w:vAlign w:val="center"/>
            <w:hideMark/>
          </w:tcPr>
          <w:p w14:paraId="498785A7" w14:textId="77777777" w:rsidR="009B0A29" w:rsidRPr="009B0A29" w:rsidRDefault="009B0A29" w:rsidP="009B0A29">
            <w:pPr>
              <w:spacing w:after="0" w:line="240" w:lineRule="atLeast"/>
              <w:ind w:firstLine="566"/>
              <w:jc w:val="both"/>
              <w:rPr>
                <w:rFonts w:eastAsia="Times New Roman" w:cs="Times New Roman"/>
                <w:kern w:val="0"/>
                <w:u w:val="single"/>
                <w:lang w:eastAsia="tr-TR"/>
                <w14:ligatures w14:val="none"/>
              </w:rPr>
            </w:pPr>
            <w:r w:rsidRPr="009B0A29">
              <w:rPr>
                <w:rFonts w:eastAsia="Times New Roman" w:cs="Times New Roman"/>
                <w:kern w:val="0"/>
                <w:sz w:val="18"/>
                <w:szCs w:val="18"/>
                <w:u w:val="single"/>
                <w:lang w:eastAsia="tr-TR"/>
                <w14:ligatures w14:val="none"/>
              </w:rPr>
              <w:t>Hazine ve Maliye Bakanlığı (Gelir İdaresi Başkanlığı)’</w:t>
            </w:r>
            <w:proofErr w:type="spellStart"/>
            <w:r w:rsidRPr="009B0A29">
              <w:rPr>
                <w:rFonts w:eastAsia="Times New Roman" w:cs="Times New Roman"/>
                <w:kern w:val="0"/>
                <w:sz w:val="18"/>
                <w:szCs w:val="18"/>
                <w:u w:val="single"/>
                <w:lang w:eastAsia="tr-TR"/>
                <w14:ligatures w14:val="none"/>
              </w:rPr>
              <w:t>ndan</w:t>
            </w:r>
            <w:proofErr w:type="spellEnd"/>
            <w:r w:rsidRPr="009B0A29">
              <w:rPr>
                <w:rFonts w:eastAsia="Times New Roman" w:cs="Times New Roman"/>
                <w:kern w:val="0"/>
                <w:sz w:val="18"/>
                <w:szCs w:val="18"/>
                <w:u w:val="single"/>
                <w:lang w:eastAsia="tr-TR"/>
                <w14:ligatures w14:val="none"/>
              </w:rPr>
              <w:t>:</w:t>
            </w:r>
          </w:p>
          <w:p w14:paraId="6F1F44E9" w14:textId="77777777" w:rsidR="009B0A29" w:rsidRPr="009B0A29" w:rsidRDefault="009B0A29" w:rsidP="009B0A29">
            <w:pPr>
              <w:spacing w:before="56" w:after="0" w:line="240" w:lineRule="atLeast"/>
              <w:jc w:val="center"/>
              <w:rPr>
                <w:rFonts w:eastAsia="Times New Roman" w:cs="Times New Roman"/>
                <w:b/>
                <w:bCs/>
                <w:kern w:val="0"/>
                <w:sz w:val="19"/>
                <w:szCs w:val="19"/>
                <w:lang w:eastAsia="tr-TR"/>
                <w14:ligatures w14:val="none"/>
              </w:rPr>
            </w:pPr>
            <w:r w:rsidRPr="009B0A29">
              <w:rPr>
                <w:rFonts w:eastAsia="Times New Roman" w:cs="Times New Roman"/>
                <w:b/>
                <w:bCs/>
                <w:kern w:val="0"/>
                <w:sz w:val="18"/>
                <w:szCs w:val="18"/>
                <w:lang w:eastAsia="tr-TR"/>
                <w14:ligatures w14:val="none"/>
              </w:rPr>
              <w:t>KATMA DEĞER VERGİSİ GENEL UYGULAMA TEBLİĞİNDE</w:t>
            </w:r>
          </w:p>
          <w:p w14:paraId="1DA39868" w14:textId="77777777" w:rsidR="009B0A29" w:rsidRPr="009B0A29" w:rsidRDefault="009B0A29" w:rsidP="009B0A29">
            <w:pPr>
              <w:spacing w:after="0" w:line="240" w:lineRule="atLeast"/>
              <w:jc w:val="center"/>
              <w:rPr>
                <w:rFonts w:eastAsia="Times New Roman" w:cs="Times New Roman"/>
                <w:b/>
                <w:bCs/>
                <w:kern w:val="0"/>
                <w:sz w:val="19"/>
                <w:szCs w:val="19"/>
                <w:lang w:eastAsia="tr-TR"/>
                <w14:ligatures w14:val="none"/>
              </w:rPr>
            </w:pPr>
            <w:r w:rsidRPr="009B0A29">
              <w:rPr>
                <w:rFonts w:eastAsia="Times New Roman" w:cs="Times New Roman"/>
                <w:b/>
                <w:bCs/>
                <w:kern w:val="0"/>
                <w:sz w:val="18"/>
                <w:szCs w:val="18"/>
                <w:lang w:eastAsia="tr-TR"/>
                <w14:ligatures w14:val="none"/>
              </w:rPr>
              <w:t>DEĞİŞİKLİK YAPILMASINA DAİR TEBLİĞ</w:t>
            </w:r>
          </w:p>
          <w:p w14:paraId="281A87B4" w14:textId="77777777" w:rsidR="009B0A29" w:rsidRPr="009B0A29" w:rsidRDefault="009B0A29" w:rsidP="009B0A29">
            <w:pPr>
              <w:spacing w:after="100" w:line="240" w:lineRule="atLeast"/>
              <w:jc w:val="center"/>
              <w:rPr>
                <w:rFonts w:eastAsia="Times New Roman" w:cs="Times New Roman"/>
                <w:b/>
                <w:bCs/>
                <w:kern w:val="0"/>
                <w:sz w:val="19"/>
                <w:szCs w:val="19"/>
                <w:lang w:eastAsia="tr-TR"/>
                <w14:ligatures w14:val="none"/>
              </w:rPr>
            </w:pPr>
            <w:r w:rsidRPr="009B0A29">
              <w:rPr>
                <w:rFonts w:eastAsia="Times New Roman" w:cs="Times New Roman"/>
                <w:b/>
                <w:bCs/>
                <w:kern w:val="0"/>
                <w:sz w:val="18"/>
                <w:szCs w:val="18"/>
                <w:lang w:eastAsia="tr-TR"/>
                <w14:ligatures w14:val="none"/>
              </w:rPr>
              <w:t>(SERİ NO: 49)</w:t>
            </w:r>
          </w:p>
          <w:p w14:paraId="1CD4C787"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MADDE 1- </w:t>
            </w:r>
            <w:r w:rsidRPr="009B0A29">
              <w:rPr>
                <w:rFonts w:eastAsia="Times New Roman" w:cs="Times New Roman"/>
                <w:kern w:val="0"/>
                <w:sz w:val="18"/>
                <w:szCs w:val="18"/>
                <w:lang w:eastAsia="tr-TR"/>
                <w14:ligatures w14:val="none"/>
              </w:rPr>
              <w:t xml:space="preserve">26/4/2014 tarihli ve 28983 sayılı Resmî </w:t>
            </w:r>
            <w:proofErr w:type="spellStart"/>
            <w:r w:rsidRPr="009B0A29">
              <w:rPr>
                <w:rFonts w:eastAsia="Times New Roman" w:cs="Times New Roman"/>
                <w:kern w:val="0"/>
                <w:sz w:val="18"/>
                <w:szCs w:val="18"/>
                <w:lang w:eastAsia="tr-TR"/>
                <w14:ligatures w14:val="none"/>
              </w:rPr>
              <w:t>Gazete’de</w:t>
            </w:r>
            <w:proofErr w:type="spellEnd"/>
            <w:r w:rsidRPr="009B0A29">
              <w:rPr>
                <w:rFonts w:eastAsia="Times New Roman" w:cs="Times New Roman"/>
                <w:kern w:val="0"/>
                <w:sz w:val="18"/>
                <w:szCs w:val="18"/>
                <w:lang w:eastAsia="tr-TR"/>
                <w14:ligatures w14:val="none"/>
              </w:rPr>
              <w:t xml:space="preserve"> yayımlanan Katma Değer Vergisi Genel Uygulama Tebliğinin (I/B-15.) bölümünden sonra gelmek üzere başlığıyla birlikte aşağıdaki bölüm eklenmiştir.</w:t>
            </w:r>
          </w:p>
          <w:p w14:paraId="29F7564B"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“16. Kart, Şifre, Kod ve Benzerlerinin Satışında KDV Uygulaması</w:t>
            </w:r>
          </w:p>
          <w:p w14:paraId="10B64355"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16.1. Genel Açıklama</w:t>
            </w:r>
          </w:p>
          <w:p w14:paraId="3B41BD51"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kern w:val="0"/>
                <w:sz w:val="18"/>
                <w:szCs w:val="18"/>
                <w:lang w:eastAsia="tr-TR"/>
                <w14:ligatures w14:val="none"/>
              </w:rPr>
              <w:t>Kart, şifre ve kodlar (aktivasyon kodu, e-pin kodu, oyun kodu, dijital ürün kodu, cüzdan kodu, hediye kartı/çeki ve benzeri mahiyette olanlar), sanal ortamda (yayın platformları, oyun siteleri, uygulama mağazaları gibi) pazarlanan bilgisayar programı, oyun, uygulama, müzik, yayın ve eğlence gibi ürün ve hizmetlerin temin edilmesinde kullanılabildiği gibi, sanal veya fiziki mağazalarda güvenli alışveriş yapılmasında da kullanılabilmekte olup, bu kart, şifre ve kodlar sanal ortamda veya fiziki olarak satılabilmektedir.</w:t>
            </w:r>
          </w:p>
          <w:p w14:paraId="6408910F"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kern w:val="0"/>
                <w:sz w:val="18"/>
                <w:szCs w:val="18"/>
                <w:lang w:eastAsia="tr-TR"/>
                <w14:ligatures w14:val="none"/>
              </w:rPr>
              <w:t>Bahse konu kart, şifre ve kodlar, belirli bir ürün veya hizmetin karşılığını oluşturabildiği gibi bunları çıkaranlar nezdinde ürün veya hizmet satın alınabilmesine yönelik sanal bir satın alma gücünü de temsil edebilmektedir.</w:t>
            </w:r>
          </w:p>
          <w:p w14:paraId="37B1D4FA"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16.2. Karşılığı Belirli Bir Ürün veya Hizmet Olan Kart, Şifre ve Kodlarda KDV Uygulaması</w:t>
            </w:r>
          </w:p>
          <w:p w14:paraId="3C443D35"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kern w:val="0"/>
                <w:sz w:val="18"/>
                <w:szCs w:val="18"/>
                <w:lang w:eastAsia="tr-TR"/>
                <w14:ligatures w14:val="none"/>
              </w:rPr>
              <w:t>Bazı kart, şifre ve kodlar belirli bir ürün veya hizmeti temsil etmekte olup, henüz aktive edilmemiş olsalar bile, bunlar ile bir başka ürün veya hizmetin temini mümkün olmamaktadır. Sanal ortamda veya fiziki olarak mağazalarda satılan bu kart, şifre ve kodların yurt dışından ithali veya Türkiye’de satışı KDV’ye tabidir.</w:t>
            </w:r>
          </w:p>
          <w:p w14:paraId="20ECF18C"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kern w:val="0"/>
                <w:sz w:val="18"/>
                <w:szCs w:val="18"/>
                <w:lang w:eastAsia="tr-TR"/>
                <w14:ligatures w14:val="none"/>
              </w:rPr>
              <w:t>Bu kart, şifre ve kodların;</w:t>
            </w:r>
          </w:p>
          <w:p w14:paraId="3CFB52CA"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kern w:val="0"/>
                <w:sz w:val="18"/>
                <w:szCs w:val="18"/>
                <w:lang w:eastAsia="tr-TR"/>
                <w14:ligatures w14:val="none"/>
              </w:rPr>
              <w:t>- Türkiye’de mukim olanlar tarafından yurt dışı mukimi firmalardan temin edilmesi halinde, bu işleme ilişkin KDV’nin Türkiye’de mukim olanlar tarafından sorumlu sıfatıyla 2 No.lu KDV Beyannamesi ile beyan edilip ödenmesi,</w:t>
            </w:r>
          </w:p>
          <w:p w14:paraId="10A3DB70"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kern w:val="0"/>
                <w:sz w:val="18"/>
                <w:szCs w:val="18"/>
                <w:lang w:eastAsia="tr-TR"/>
                <w14:ligatures w14:val="none"/>
              </w:rPr>
              <w:t>- Türkiye’de mukim olup KDV mükellefi olmayan gerçek kişiler tarafından yurt dışı mukimi elektronik hizmet sunucularından sağlanması halinde, bu işleme ilişkin KDV’nin yurt dışı mukimi firma tarafından 3 No.lu KDV Beyannamesi ile beyan edilip ödenmesi,</w:t>
            </w:r>
          </w:p>
          <w:p w14:paraId="7926192C"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kern w:val="0"/>
                <w:sz w:val="18"/>
                <w:szCs w:val="18"/>
                <w:lang w:eastAsia="tr-TR"/>
                <w14:ligatures w14:val="none"/>
              </w:rPr>
              <w:t>- Türkiye’de satılması halinde hesaplanan KDV’nin satıcı firmalar tarafından 1 No.lu KDV Beyannamesi ile beyan edilmesi,</w:t>
            </w:r>
          </w:p>
          <w:p w14:paraId="45A0A3BF"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proofErr w:type="gramStart"/>
            <w:r w:rsidRPr="009B0A29">
              <w:rPr>
                <w:rFonts w:eastAsia="Times New Roman" w:cs="Times New Roman"/>
                <w:kern w:val="0"/>
                <w:sz w:val="18"/>
                <w:szCs w:val="18"/>
                <w:lang w:eastAsia="tr-TR"/>
                <w14:ligatures w14:val="none"/>
              </w:rPr>
              <w:t>gerekmektedir</w:t>
            </w:r>
            <w:proofErr w:type="gramEnd"/>
            <w:r w:rsidRPr="009B0A29">
              <w:rPr>
                <w:rFonts w:eastAsia="Times New Roman" w:cs="Times New Roman"/>
                <w:kern w:val="0"/>
                <w:sz w:val="18"/>
                <w:szCs w:val="18"/>
                <w:lang w:eastAsia="tr-TR"/>
                <w14:ligatures w14:val="none"/>
              </w:rPr>
              <w:t>.</w:t>
            </w:r>
          </w:p>
          <w:p w14:paraId="3EB6AC7B"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kern w:val="0"/>
                <w:sz w:val="18"/>
                <w:szCs w:val="18"/>
                <w:lang w:eastAsia="tr-TR"/>
                <w14:ligatures w14:val="none"/>
              </w:rPr>
              <w:t>Konuyla ilgili örneklere aşağıda yer verilmiştir.</w:t>
            </w:r>
          </w:p>
          <w:p w14:paraId="0103B936"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Örnek 1:</w:t>
            </w:r>
            <w:r w:rsidRPr="009B0A29">
              <w:rPr>
                <w:rFonts w:eastAsia="Times New Roman" w:cs="Times New Roman"/>
                <w:kern w:val="0"/>
                <w:sz w:val="18"/>
                <w:szCs w:val="18"/>
                <w:lang w:eastAsia="tr-TR"/>
                <w14:ligatures w14:val="none"/>
              </w:rPr>
              <w:t> Türkiye’de KDV mükellefi olan mali müşavir (B), profesyonel belge düzenleme programına erişim için yurt dışı mukimi (A) firması tarafından çıkarılan e-pin kodu satın almıştır. Sadece bu programa erişime </w:t>
            </w:r>
            <w:proofErr w:type="gramStart"/>
            <w:r w:rsidRPr="009B0A29">
              <w:rPr>
                <w:rFonts w:eastAsia="Times New Roman" w:cs="Times New Roman"/>
                <w:kern w:val="0"/>
                <w:sz w:val="18"/>
                <w:szCs w:val="18"/>
                <w:lang w:eastAsia="tr-TR"/>
                <w14:ligatures w14:val="none"/>
              </w:rPr>
              <w:t>imkan</w:t>
            </w:r>
            <w:proofErr w:type="gramEnd"/>
            <w:r w:rsidRPr="009B0A29">
              <w:rPr>
                <w:rFonts w:eastAsia="Times New Roman" w:cs="Times New Roman"/>
                <w:kern w:val="0"/>
                <w:sz w:val="18"/>
                <w:szCs w:val="18"/>
                <w:lang w:eastAsia="tr-TR"/>
                <w14:ligatures w14:val="none"/>
              </w:rPr>
              <w:t> veren kodun mali müşavir (B) tarafından yurt dışı mukimi (A) firmasından satın alınması işlemi KDV’ye tabi olup, bu işleme ilişkin KDV’nin mali müşavir (B) tarafından sorumlu sıfatıyla 2 No.lu KDV Beyannamesi ile beyan edilip ödenmesi gerekmektedir.</w:t>
            </w:r>
          </w:p>
          <w:p w14:paraId="06E50DE2"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Örnek 2:</w:t>
            </w:r>
            <w:r w:rsidRPr="009B0A29">
              <w:rPr>
                <w:rFonts w:eastAsia="Times New Roman" w:cs="Times New Roman"/>
                <w:kern w:val="0"/>
                <w:sz w:val="18"/>
                <w:szCs w:val="18"/>
                <w:lang w:eastAsia="tr-TR"/>
                <w14:ligatures w14:val="none"/>
              </w:rPr>
              <w:t> Elektronik ortamda yayın hizmeti sunan, Türkiye’de mukim (K) Ltd. Şti., verdiği hizmete erişim için 6 ay süreyle üyelik sağlayan kupon kodunu (C)’ye satmıştır. Karşılığı, yayın hizmetine erişim hakkı olarak belirlenen söz konusu kodun satış işlemi KDV’ye tabi olup, bu kod satışına ilişkin KDV’nin (K) Ltd. Şti. tarafından 1 No.lu KDV Beyannamesi ile beyan edilmesi gerekmektedir.</w:t>
            </w:r>
          </w:p>
          <w:p w14:paraId="1C525299"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Örnek 3:</w:t>
            </w:r>
            <w:r w:rsidRPr="009B0A29">
              <w:rPr>
                <w:rFonts w:eastAsia="Times New Roman" w:cs="Times New Roman"/>
                <w:kern w:val="0"/>
                <w:sz w:val="18"/>
                <w:szCs w:val="18"/>
                <w:lang w:eastAsia="tr-TR"/>
                <w14:ligatures w14:val="none"/>
              </w:rPr>
              <w:t> Bay (N), müzik platformuna üyelik için Türkiye’de bir teknoloji mağazasından 3 aylık abonelik hakkı sağlayan kart satın almıştır. Bu kartın satışı KDV’ye tabi olup hesaplanan KDV’nin teknoloji mağazası tarafından 1 No.lu KDV Beyannamesi ile beyan edilmesi gerekmektedir.</w:t>
            </w:r>
          </w:p>
          <w:p w14:paraId="1D377F1B"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Örnek 4:</w:t>
            </w:r>
            <w:r w:rsidRPr="009B0A29">
              <w:rPr>
                <w:rFonts w:eastAsia="Times New Roman" w:cs="Times New Roman"/>
                <w:kern w:val="0"/>
                <w:sz w:val="18"/>
                <w:szCs w:val="18"/>
                <w:lang w:eastAsia="tr-TR"/>
                <w14:ligatures w14:val="none"/>
              </w:rPr>
              <w:t> Elektronik kod alım/satım faaliyetiyle iştigal eden, Türkiye’de mukim (M) Anonim Şirketi, (Y) oyununa erişim hakkı sağlayan kod satmaktadır. Bahse konu kodun, belirli bir oyuna erişim hakkı sağlanmasına (aktive edilmesine) ilişkin olması nedeniyle, bu kod satışı KDV’ye tabi olup, hesaplanan KDV’nin (M) A.Ş. tarafından 1 No.lu KDV Beyannamesi ile beyan edilmesi gerekmektedir.</w:t>
            </w:r>
          </w:p>
          <w:p w14:paraId="7513DD86"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Örnek 5:</w:t>
            </w:r>
            <w:r w:rsidRPr="009B0A29">
              <w:rPr>
                <w:rFonts w:eastAsia="Times New Roman" w:cs="Times New Roman"/>
                <w:kern w:val="0"/>
                <w:sz w:val="18"/>
                <w:szCs w:val="18"/>
                <w:lang w:eastAsia="tr-TR"/>
                <w14:ligatures w14:val="none"/>
              </w:rPr>
              <w:t> Türkiye’de mukim, KDV mükellefi olmayan Bay (Ç), yurt dışı mukimi elektronik hizmet sunucusu (L) film/dizi platformuna üyelik için bu platformdan 1 yıllık abonelik hakkı sağlayan kartı satın almıştır. Söz konusu abonelik kartının satışına ilişkin KDV’nin, (L) film/dizi platformu tarafından 3 No.lu KDV Beyannamesi ile beyan edilip ödenmesi gerekmektedir.</w:t>
            </w:r>
          </w:p>
          <w:p w14:paraId="16265468"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16.3. Karşılığı Belirli Bir Ürün veya Hizmet Olmayan Kart, Şifre ve Kodlarda KDV Uygulaması</w:t>
            </w:r>
          </w:p>
          <w:p w14:paraId="5780D93F"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kern w:val="0"/>
                <w:sz w:val="18"/>
                <w:szCs w:val="18"/>
                <w:lang w:eastAsia="tr-TR"/>
                <w14:ligatures w14:val="none"/>
              </w:rPr>
              <w:t>Bazı kart, şifre ve kodlar, ürün veya hizmetleri sağlayanlar nezdinde daha sonra yapılacak teslim veya hizmetlerin satın alınabilmesine yönelik sanal bir satın alma gücünü temsil etmektedir. Bu kart, şifre ve kodlar kullanıldığında belirli bir ürün veya hizmet temin edilmemekte, sanal veya fiziki ortamda satın alma hakkı oluşmaktadır.</w:t>
            </w:r>
          </w:p>
          <w:p w14:paraId="051B19F6"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lastRenderedPageBreak/>
              <w:t>16.3.1. Karşılığı Belirli Bir Ürün veya Hizmet Olmayan Kart, Şifre ve Kodların Satışında KDV Uygulaması</w:t>
            </w:r>
          </w:p>
          <w:p w14:paraId="7BBF9E32"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kern w:val="0"/>
                <w:sz w:val="18"/>
                <w:szCs w:val="18"/>
                <w:lang w:eastAsia="tr-TR"/>
                <w14:ligatures w14:val="none"/>
              </w:rPr>
              <w:t>Sanal veya fiziki ortamda, cüzdan kodu ve benzeri adlarla satılan ancak belirli bir ürün veya hizmetin karşılığını temsil etmeyen, kullanıldığında bunları çıkaran firma nezdinde bir satın alma hakkı oluşturan, ödeme aracı mahiyetinde olan kart, şifre ve kodların satışı KDV’nin konusuna girmemektedir. Bu çerçevede, bu kart, şifre ve kodların yurt dışından temini veya Türkiye içerisinde satışı KDV’ye tabi olmayacaktır.</w:t>
            </w:r>
          </w:p>
          <w:p w14:paraId="0124EE56"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kern w:val="0"/>
                <w:sz w:val="18"/>
                <w:szCs w:val="18"/>
                <w:lang w:eastAsia="tr-TR"/>
                <w14:ligatures w14:val="none"/>
              </w:rPr>
              <w:t>Konuyla ilgili örneklere aşağıda yer verilmiştir.</w:t>
            </w:r>
          </w:p>
          <w:p w14:paraId="00D80AA0"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Örnek 1:</w:t>
            </w:r>
            <w:r w:rsidRPr="009B0A29">
              <w:rPr>
                <w:rFonts w:eastAsia="Times New Roman" w:cs="Times New Roman"/>
                <w:kern w:val="0"/>
                <w:sz w:val="18"/>
                <w:szCs w:val="18"/>
                <w:lang w:eastAsia="tr-TR"/>
                <w14:ligatures w14:val="none"/>
              </w:rPr>
              <w:t> Bay (H), (A) alışveriş uygulamasının çıkardığı e-pin kodunu (Z) mağazasından satın almıştır. Bay (H), bu kodu kullandığında (A) alışveriş uygulaması bünyesinde cüzdan bakiyesine sahip olacak ve bu cüzdan bakiyesi ile uygulama aracılığıyla ürün ve hizmet satın alabilecektir. (A) alışveriş uygulamasında bir satın alma hakkını temsil eden bu e-pin kodunun (Z) mağazası tarafından Bay (H)’ye satışı KDV’ye tabi olmayacaktır.</w:t>
            </w:r>
          </w:p>
          <w:p w14:paraId="7B1C4422"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Örnek 2:</w:t>
            </w:r>
            <w:r w:rsidRPr="009B0A29">
              <w:rPr>
                <w:rFonts w:eastAsia="Times New Roman" w:cs="Times New Roman"/>
                <w:kern w:val="0"/>
                <w:sz w:val="18"/>
                <w:szCs w:val="18"/>
                <w:lang w:eastAsia="tr-TR"/>
                <w14:ligatures w14:val="none"/>
              </w:rPr>
              <w:t xml:space="preserve"> Bay (Y), (B) Ltd. </w:t>
            </w:r>
            <w:proofErr w:type="spellStart"/>
            <w:r w:rsidRPr="009B0A29">
              <w:rPr>
                <w:rFonts w:eastAsia="Times New Roman" w:cs="Times New Roman"/>
                <w:kern w:val="0"/>
                <w:sz w:val="18"/>
                <w:szCs w:val="18"/>
                <w:lang w:eastAsia="tr-TR"/>
                <w14:ligatures w14:val="none"/>
              </w:rPr>
              <w:t>Şti.nin</w:t>
            </w:r>
            <w:proofErr w:type="spellEnd"/>
            <w:r w:rsidRPr="009B0A29">
              <w:rPr>
                <w:rFonts w:eastAsia="Times New Roman" w:cs="Times New Roman"/>
                <w:kern w:val="0"/>
                <w:sz w:val="18"/>
                <w:szCs w:val="18"/>
                <w:lang w:eastAsia="tr-TR"/>
                <w14:ligatures w14:val="none"/>
              </w:rPr>
              <w:t xml:space="preserve"> bir mağazasından 2.000 TL değerinde hediye çeki satın almıştır. (B) Ltd. </w:t>
            </w:r>
            <w:proofErr w:type="spellStart"/>
            <w:r w:rsidRPr="009B0A29">
              <w:rPr>
                <w:rFonts w:eastAsia="Times New Roman" w:cs="Times New Roman"/>
                <w:kern w:val="0"/>
                <w:sz w:val="18"/>
                <w:szCs w:val="18"/>
                <w:lang w:eastAsia="tr-TR"/>
                <w14:ligatures w14:val="none"/>
              </w:rPr>
              <w:t>Şti.nin</w:t>
            </w:r>
            <w:proofErr w:type="spellEnd"/>
            <w:r w:rsidRPr="009B0A29">
              <w:rPr>
                <w:rFonts w:eastAsia="Times New Roman" w:cs="Times New Roman"/>
                <w:kern w:val="0"/>
                <w:sz w:val="18"/>
                <w:szCs w:val="18"/>
                <w:lang w:eastAsia="tr-TR"/>
                <w14:ligatures w14:val="none"/>
              </w:rPr>
              <w:t xml:space="preserve"> bütün mağazalarındaki ürün ve hizmetlerin temin edilmesinde kullanılabilen bu çek, belirli bir ürün veya hizmeti temsil etmediğinden, çekin satışında KDV hesaplanmayacaktır.</w:t>
            </w:r>
          </w:p>
          <w:p w14:paraId="066ED7E8"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Örnek 3:</w:t>
            </w:r>
            <w:r w:rsidRPr="009B0A29">
              <w:rPr>
                <w:rFonts w:eastAsia="Times New Roman" w:cs="Times New Roman"/>
                <w:kern w:val="0"/>
                <w:sz w:val="18"/>
                <w:szCs w:val="18"/>
                <w:lang w:eastAsia="tr-TR"/>
                <w14:ligatures w14:val="none"/>
              </w:rPr>
              <w:t> Oyun kodları satışı yapan, Türkiye’de mukim (T) firması, Singapur mukimi oyun geliştiricisi firmanın internet sitesinde yer alan oyun veya oyunlarında cüzdan kodu olarak kullanılabilen e-pin kodlarını bu firmadan satın almıştır. Türkiye mukimi Bay (A) da (T) firmasının internet sitesine girerek bahse konu internet sitesinde kullanabileceği 500 TL tutarında cüzdan kodu satın almıştır. Gerek Singapur mukimi firmanın gerekse de (T) firmasının satmış olduğu bahse konu kodlar, oyun geliştiricisi firmanın internet sitesinde kullanılabilecek bir satın alma gücünü temsil ettiğinden, bu kod satışlarında KDV hesaplanmayacaktır. Öte yandan, satın alınan e-pin kodlarının belirli bir oyuna giriş hakkı (erişim, üyelik, abonelik) sağlaması halinde bu kodların satışında KDV hesaplanacağı tabiidir.</w:t>
            </w:r>
          </w:p>
          <w:p w14:paraId="655D9AB3"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16.3.2. Karşılığı Belirli Bir Ürün veya Hizmet Olmayan Kart, Şifre ve Kodlar Kullanılarak Ürün veya Hizmet Temininde KDV Uygulaması</w:t>
            </w:r>
          </w:p>
          <w:p w14:paraId="5304A070"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kern w:val="0"/>
                <w:sz w:val="18"/>
                <w:szCs w:val="18"/>
                <w:lang w:eastAsia="tr-TR"/>
                <w14:ligatures w14:val="none"/>
              </w:rPr>
              <w:t>Sanal veya fiziki ortamda satılan, ancak belirli bir ürün veya hizmetin karşılığını temsil etmeyen kart, şifre ve kodların kullanılarak veya aktive edilerek bu kart, şifre ve kodlar karşılığında ürün veya hizmet temin edilmesi genel hükümler çerçevesinde KDV’ye tabidir.</w:t>
            </w:r>
          </w:p>
          <w:p w14:paraId="738BD99A"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kern w:val="0"/>
                <w:sz w:val="18"/>
                <w:szCs w:val="18"/>
                <w:lang w:eastAsia="tr-TR"/>
                <w14:ligatures w14:val="none"/>
              </w:rPr>
              <w:t>Bu ürün ve hizmetlerin,</w:t>
            </w:r>
          </w:p>
          <w:p w14:paraId="5727DEE2"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kern w:val="0"/>
                <w:sz w:val="18"/>
                <w:szCs w:val="18"/>
                <w:lang w:eastAsia="tr-TR"/>
                <w14:ligatures w14:val="none"/>
              </w:rPr>
              <w:t>- Türkiye’de mukim olanlar tarafından yurt dışı mukimi firmalardan temin edilmesi halinde, bu işleme ilişkin KDV’nin Türkiye’de mukim olanlar tarafından sorumlu sıfatıyla 2 No.lu KDV Beyannamesi ile beyan edilip ödenmesi,</w:t>
            </w:r>
          </w:p>
          <w:p w14:paraId="2F9E5A58"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kern w:val="0"/>
                <w:sz w:val="18"/>
                <w:szCs w:val="18"/>
                <w:lang w:eastAsia="tr-TR"/>
                <w14:ligatures w14:val="none"/>
              </w:rPr>
              <w:t>- Türkiye’de mukim olup KDV mükellefi olmayan gerçek kişiler tarafından yurt dışı mukimi elektronik hizmet sunucularından sağlanması halinde, bu işleme ilişkin KDV’nin yurt dışı mukimi firma tarafından 3 No.lu KDV Beyannamesi ile beyan edilip ödenmesi,</w:t>
            </w:r>
          </w:p>
          <w:p w14:paraId="68FCBE6E"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kern w:val="0"/>
                <w:sz w:val="18"/>
                <w:szCs w:val="18"/>
                <w:lang w:eastAsia="tr-TR"/>
                <w14:ligatures w14:val="none"/>
              </w:rPr>
              <w:t>- Türkiye’deki firmalardan sağlanması halinde hesaplanan KDV’nin satıcı firmalar tarafından 1 No.lu KDV Beyannamesi ile beyan edilmesi,</w:t>
            </w:r>
          </w:p>
          <w:p w14:paraId="43226158"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proofErr w:type="gramStart"/>
            <w:r w:rsidRPr="009B0A29">
              <w:rPr>
                <w:rFonts w:eastAsia="Times New Roman" w:cs="Times New Roman"/>
                <w:kern w:val="0"/>
                <w:sz w:val="18"/>
                <w:szCs w:val="18"/>
                <w:lang w:eastAsia="tr-TR"/>
                <w14:ligatures w14:val="none"/>
              </w:rPr>
              <w:t>gerekmektedir</w:t>
            </w:r>
            <w:proofErr w:type="gramEnd"/>
            <w:r w:rsidRPr="009B0A29">
              <w:rPr>
                <w:rFonts w:eastAsia="Times New Roman" w:cs="Times New Roman"/>
                <w:kern w:val="0"/>
                <w:sz w:val="18"/>
                <w:szCs w:val="18"/>
                <w:lang w:eastAsia="tr-TR"/>
                <w14:ligatures w14:val="none"/>
              </w:rPr>
              <w:t>.</w:t>
            </w:r>
          </w:p>
          <w:p w14:paraId="18FD4F94"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kern w:val="0"/>
                <w:sz w:val="18"/>
                <w:szCs w:val="18"/>
                <w:lang w:eastAsia="tr-TR"/>
                <w14:ligatures w14:val="none"/>
              </w:rPr>
              <w:t>Konuyla ilgili örneklere aşağıda yer verilmiştir.</w:t>
            </w:r>
          </w:p>
          <w:p w14:paraId="48E295BD"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Örnek 1:</w:t>
            </w:r>
            <w:r w:rsidRPr="009B0A29">
              <w:rPr>
                <w:rFonts w:eastAsia="Times New Roman" w:cs="Times New Roman"/>
                <w:kern w:val="0"/>
                <w:sz w:val="18"/>
                <w:szCs w:val="18"/>
                <w:lang w:eastAsia="tr-TR"/>
                <w14:ligatures w14:val="none"/>
              </w:rPr>
              <w:t> Türkiye’de mukim olup, KDV mükellefiyeti olmayan Bay (D), yurt dışı mukimi elektronik hizmet sunucusu (V) firmasının 250 TL tutarındaki bakiye kartını satın almıştır. Bu bakiye kartı, ödeme aracı mahiyetinde olduğundan, bu satın alma işlemi KDV’nin konusuna girmemektedir. Ancak, Bay (D)’</w:t>
            </w:r>
            <w:proofErr w:type="spellStart"/>
            <w:r w:rsidRPr="009B0A29">
              <w:rPr>
                <w:rFonts w:eastAsia="Times New Roman" w:cs="Times New Roman"/>
                <w:kern w:val="0"/>
                <w:sz w:val="18"/>
                <w:szCs w:val="18"/>
                <w:lang w:eastAsia="tr-TR"/>
                <w14:ligatures w14:val="none"/>
              </w:rPr>
              <w:t>nin</w:t>
            </w:r>
            <w:proofErr w:type="spellEnd"/>
            <w:r w:rsidRPr="009B0A29">
              <w:rPr>
                <w:rFonts w:eastAsia="Times New Roman" w:cs="Times New Roman"/>
                <w:kern w:val="0"/>
                <w:sz w:val="18"/>
                <w:szCs w:val="18"/>
                <w:lang w:eastAsia="tr-TR"/>
                <w14:ligatures w14:val="none"/>
              </w:rPr>
              <w:t xml:space="preserve"> bakiye kartını kullanarak anılan firmanın film/dizi platformundan film izlemesi işlemi KDV’ye tabi olup, bu işleme ilişkin KDV’nin (V) firması tarafından 3 No.lu KDV Beyannamesi ile beyan edilip ödenmesi gerekmektedir.</w:t>
            </w:r>
          </w:p>
          <w:p w14:paraId="37975D9C"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Örnek 2:</w:t>
            </w:r>
            <w:r w:rsidRPr="009B0A29">
              <w:rPr>
                <w:rFonts w:eastAsia="Times New Roman" w:cs="Times New Roman"/>
                <w:kern w:val="0"/>
                <w:sz w:val="18"/>
                <w:szCs w:val="18"/>
                <w:lang w:eastAsia="tr-TR"/>
                <w14:ligatures w14:val="none"/>
              </w:rPr>
              <w:t> Türkiye’de mukim olup, KDV mükellefiyeti olmayan Bay (E), Türkiye’de mukim (R) şirketinin mağazasında ve bu şirketin grup şirketlerine ait bütün mağazalarda kullanılabilecek 700 TL tutarında hediye çekini bir sanal platformdan satın almıştır. Bu hediye çeki satışı KDV’nin konusuna girmemektedir. Bay (E), hediye çekinin 500 TL’lik kısmıyla (R) şirketinin mağazasından gömlek satın almış olup bu gömlek satışına ilişkin hesaplanan KDV’nin (R) şirketi tarafından 1 No.lu KDV Beyannamesi ile beyan edilmesi gerekmektedir.</w:t>
            </w:r>
          </w:p>
          <w:p w14:paraId="44EEFD5E"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16.4. Kart, Şifre ve Kod Satışları ile Diğer Satışlara Aracılık Hizmetlerinden Alınan Bedellerde KDV Uygulaması</w:t>
            </w:r>
          </w:p>
          <w:p w14:paraId="1F7AD4DE"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kern w:val="0"/>
                <w:sz w:val="18"/>
                <w:szCs w:val="18"/>
                <w:lang w:eastAsia="tr-TR"/>
                <w14:ligatures w14:val="none"/>
              </w:rPr>
              <w:t>Uygulamada, kart, şifre ve kodlar sanal veya fiziki mağazalarda satılabilmektedir. Buna ilaveten, gerçek kişi oyuncular tarafından sanal oyunlar bünyesinde geliştirilen ürünler (oyun karakteri, güç, özellik, seviye gibi) de sanal ortamlarda satılabilmektedir.</w:t>
            </w:r>
          </w:p>
          <w:p w14:paraId="46451AB2"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kern w:val="0"/>
                <w:sz w:val="18"/>
                <w:szCs w:val="18"/>
                <w:lang w:eastAsia="tr-TR"/>
                <w14:ligatures w14:val="none"/>
              </w:rPr>
              <w:t>Karşılığı belirli bir ürün ve hizmet olsun veya olmasın, sanal veya fiziki mağazalarda kart, şifre ve kodlar ile diğer ürünlerin satışı için Türkiye’de verilen aracılık hizmetleri KDV’ye tabi olup, bu satışlara ilişkin olarak hizmet bedeli veya komisyon gibi adlar altında alınan bedeller üzerinden hesaplanan KDV’nin aracılık hizmetini verenler tarafından beyan edilmesi gerekmektedir.”</w:t>
            </w:r>
          </w:p>
          <w:p w14:paraId="641DF488"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MADDE 2- </w:t>
            </w:r>
            <w:r w:rsidRPr="009B0A29">
              <w:rPr>
                <w:rFonts w:eastAsia="Times New Roman" w:cs="Times New Roman"/>
                <w:kern w:val="0"/>
                <w:sz w:val="18"/>
                <w:szCs w:val="18"/>
                <w:lang w:eastAsia="tr-TR"/>
                <w14:ligatures w14:val="none"/>
              </w:rPr>
              <w:t>Aynı Tebliğin (II/A-1.2.2.) bölümünde yer alan “2.000 TL” ibaresi “10.000 TL” olarak değiştirilmiştir.</w:t>
            </w:r>
          </w:p>
          <w:p w14:paraId="6C3AE563"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MADDE 3- </w:t>
            </w:r>
            <w:r w:rsidRPr="009B0A29">
              <w:rPr>
                <w:rFonts w:eastAsia="Times New Roman" w:cs="Times New Roman"/>
                <w:kern w:val="0"/>
                <w:sz w:val="18"/>
                <w:szCs w:val="18"/>
                <w:lang w:eastAsia="tr-TR"/>
                <w14:ligatures w14:val="none"/>
              </w:rPr>
              <w:t>Aynı Tebliğin (II/A-5.3.) bölümünün ikinci paragrafında yer alan “100 TL” ibaresi “1.000 TL” olarak değiştirilmiştir.</w:t>
            </w:r>
          </w:p>
          <w:p w14:paraId="2A7EFAF5"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MADDE 4- </w:t>
            </w:r>
            <w:r w:rsidRPr="009B0A29">
              <w:rPr>
                <w:rFonts w:eastAsia="Times New Roman" w:cs="Times New Roman"/>
                <w:kern w:val="0"/>
                <w:sz w:val="18"/>
                <w:szCs w:val="18"/>
                <w:lang w:eastAsia="tr-TR"/>
                <w14:ligatures w14:val="none"/>
              </w:rPr>
              <w:t>Aynı Tebliğin (II/C-1.1.) bölümünün dördüncü paragrafı aşağıdaki şekilde değiştirilmiştir.</w:t>
            </w:r>
          </w:p>
          <w:p w14:paraId="646E435F"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kern w:val="0"/>
                <w:sz w:val="18"/>
                <w:szCs w:val="18"/>
                <w:lang w:eastAsia="tr-TR"/>
                <w14:ligatures w14:val="none"/>
              </w:rPr>
              <w:t xml:space="preserve">“Mükelleflerin istisnadan yararlanabilmesi için taşımacılık faaliyetini yaptıkları dönemde uluslararası taşımacılık faaliyetinin yürütülmesine ilişkin ilgili mevzuat gereğince kendileri adına düzenlenmiş geçerli bir yetki belgesine sahip olmaları zorunludur. Taşımacılık faaliyetinde kullanılan taşıtların tek bir yetki belgesi eki taşıt belgesine kayıtlı olması gerektiğinden bu faaliyetin yetki belgesi eki taşıt belgesine kayıtlı </w:t>
            </w:r>
            <w:proofErr w:type="spellStart"/>
            <w:r w:rsidRPr="009B0A29">
              <w:rPr>
                <w:rFonts w:eastAsia="Times New Roman" w:cs="Times New Roman"/>
                <w:kern w:val="0"/>
                <w:sz w:val="18"/>
                <w:szCs w:val="18"/>
                <w:lang w:eastAsia="tr-TR"/>
                <w14:ligatures w14:val="none"/>
              </w:rPr>
              <w:t>özmal</w:t>
            </w:r>
            <w:proofErr w:type="spellEnd"/>
            <w:r w:rsidRPr="009B0A29">
              <w:rPr>
                <w:rFonts w:eastAsia="Times New Roman" w:cs="Times New Roman"/>
                <w:kern w:val="0"/>
                <w:sz w:val="18"/>
                <w:szCs w:val="18"/>
                <w:lang w:eastAsia="tr-TR"/>
                <w14:ligatures w14:val="none"/>
              </w:rPr>
              <w:t xml:space="preserve"> veya kiralık araçlarla yapılması mümkündür.”</w:t>
            </w:r>
          </w:p>
          <w:p w14:paraId="751B8074"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MADDE 5- </w:t>
            </w:r>
            <w:r w:rsidRPr="009B0A29">
              <w:rPr>
                <w:rFonts w:eastAsia="Times New Roman" w:cs="Times New Roman"/>
                <w:kern w:val="0"/>
                <w:sz w:val="18"/>
                <w:szCs w:val="18"/>
                <w:lang w:eastAsia="tr-TR"/>
                <w14:ligatures w14:val="none"/>
              </w:rPr>
              <w:t>Aynı Tebliğin (II/C-1.3.) bölümünün birinci paragrafında yer alan “Uluslararası taşımacılık faaliyetinin yürütülmesi için ilgili mevzuat gereğince yetki belgesi alınmasının zorunlu olması halinde, söz konusu belge (Bu belge, belgede değişiklik olmaması kaydıyla sadece bir defa verilir.)” ibaresi “Uluslararası taşımacılık faaliyetinin yürütülmesi için ilgili mevzuat gereğince alınan yetki belgesi ve eki taşıt belgesi” olarak değiştirilmiştir.</w:t>
            </w:r>
          </w:p>
          <w:p w14:paraId="3B1BE664"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MADDE 6- </w:t>
            </w:r>
            <w:r w:rsidRPr="009B0A29">
              <w:rPr>
                <w:rFonts w:eastAsia="Times New Roman" w:cs="Times New Roman"/>
                <w:kern w:val="0"/>
                <w:sz w:val="18"/>
                <w:szCs w:val="18"/>
                <w:lang w:eastAsia="tr-TR"/>
                <w14:ligatures w14:val="none"/>
              </w:rPr>
              <w:t>Bu Tebliğ yayımını izleyen ayın başında yürürlüğe girer.</w:t>
            </w:r>
          </w:p>
          <w:p w14:paraId="386254BC" w14:textId="77777777" w:rsidR="009B0A29" w:rsidRPr="009B0A29" w:rsidRDefault="009B0A29" w:rsidP="009B0A29">
            <w:pPr>
              <w:spacing w:after="0" w:line="240" w:lineRule="atLeast"/>
              <w:ind w:firstLine="566"/>
              <w:jc w:val="both"/>
              <w:rPr>
                <w:rFonts w:eastAsia="Times New Roman" w:cs="Times New Roman"/>
                <w:kern w:val="0"/>
                <w:sz w:val="19"/>
                <w:szCs w:val="19"/>
                <w:lang w:eastAsia="tr-TR"/>
                <w14:ligatures w14:val="none"/>
              </w:rPr>
            </w:pPr>
            <w:r w:rsidRPr="009B0A29">
              <w:rPr>
                <w:rFonts w:eastAsia="Times New Roman" w:cs="Times New Roman"/>
                <w:b/>
                <w:bCs/>
                <w:kern w:val="0"/>
                <w:sz w:val="18"/>
                <w:szCs w:val="18"/>
                <w:lang w:eastAsia="tr-TR"/>
                <w14:ligatures w14:val="none"/>
              </w:rPr>
              <w:t>MADDE 7- </w:t>
            </w:r>
            <w:r w:rsidRPr="009B0A29">
              <w:rPr>
                <w:rFonts w:eastAsia="Times New Roman" w:cs="Times New Roman"/>
                <w:kern w:val="0"/>
                <w:sz w:val="18"/>
                <w:szCs w:val="18"/>
                <w:lang w:eastAsia="tr-TR"/>
                <w14:ligatures w14:val="none"/>
              </w:rPr>
              <w:t>Bu Tebliğ hükümlerini Hazine ve Maliye Bakanı yürütür.</w:t>
            </w:r>
          </w:p>
          <w:p w14:paraId="2F5971EF" w14:textId="77777777" w:rsidR="009B0A29" w:rsidRPr="009B0A29" w:rsidRDefault="009B0A29" w:rsidP="009B0A29">
            <w:pPr>
              <w:spacing w:before="100" w:beforeAutospacing="1" w:after="100" w:afterAutospacing="1" w:line="240" w:lineRule="auto"/>
              <w:jc w:val="center"/>
              <w:rPr>
                <w:rFonts w:eastAsia="Times New Roman" w:cs="Times New Roman"/>
                <w:kern w:val="0"/>
                <w:sz w:val="24"/>
                <w:szCs w:val="24"/>
                <w:lang w:eastAsia="tr-TR"/>
                <w14:ligatures w14:val="none"/>
              </w:rPr>
            </w:pPr>
            <w:r w:rsidRPr="009B0A29">
              <w:rPr>
                <w:rFonts w:ascii="Arial" w:eastAsia="Times New Roman" w:hAnsi="Arial" w:cs="Arial"/>
                <w:b/>
                <w:bCs/>
                <w:color w:val="000080"/>
                <w:kern w:val="0"/>
                <w:sz w:val="18"/>
                <w:szCs w:val="18"/>
                <w:lang w:eastAsia="tr-TR"/>
                <w14:ligatures w14:val="none"/>
              </w:rPr>
              <w:t> </w:t>
            </w:r>
          </w:p>
        </w:tc>
      </w:tr>
    </w:tbl>
    <w:p w14:paraId="2391065C"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29"/>
    <w:rsid w:val="0000281C"/>
    <w:rsid w:val="000F3A00"/>
    <w:rsid w:val="005109C4"/>
    <w:rsid w:val="009B0A29"/>
    <w:rsid w:val="00C2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E759"/>
  <w15:chartTrackingRefBased/>
  <w15:docId w15:val="{7BF08017-BEA6-4547-83F9-8933E527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B0A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9B0A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9B0A29"/>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9B0A29"/>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alk5">
    <w:name w:val="heading 5"/>
    <w:basedOn w:val="Normal"/>
    <w:next w:val="Normal"/>
    <w:link w:val="Balk5Char"/>
    <w:uiPriority w:val="9"/>
    <w:semiHidden/>
    <w:unhideWhenUsed/>
    <w:qFormat/>
    <w:rsid w:val="009B0A29"/>
    <w:pPr>
      <w:keepNext/>
      <w:keepLines/>
      <w:spacing w:before="80" w:after="40"/>
      <w:outlineLvl w:val="4"/>
    </w:pPr>
    <w:rPr>
      <w:rFonts w:asciiTheme="minorHAnsi" w:eastAsiaTheme="majorEastAsia" w:hAnsiTheme="minorHAnsi" w:cstheme="majorBidi"/>
      <w:color w:val="0F4761" w:themeColor="accent1" w:themeShade="BF"/>
    </w:rPr>
  </w:style>
  <w:style w:type="paragraph" w:styleId="Balk6">
    <w:name w:val="heading 6"/>
    <w:basedOn w:val="Normal"/>
    <w:next w:val="Normal"/>
    <w:link w:val="Balk6Char"/>
    <w:uiPriority w:val="9"/>
    <w:semiHidden/>
    <w:unhideWhenUsed/>
    <w:qFormat/>
    <w:rsid w:val="009B0A29"/>
    <w:pPr>
      <w:keepNext/>
      <w:keepLines/>
      <w:spacing w:before="40" w:after="0"/>
      <w:outlineLvl w:val="5"/>
    </w:pPr>
    <w:rPr>
      <w:rFonts w:asciiTheme="minorHAnsi" w:eastAsiaTheme="majorEastAsia" w:hAnsiTheme="minorHAnsi" w:cstheme="majorBidi"/>
      <w:i/>
      <w:iCs/>
      <w:color w:val="595959" w:themeColor="text1" w:themeTint="A6"/>
    </w:rPr>
  </w:style>
  <w:style w:type="paragraph" w:styleId="Balk7">
    <w:name w:val="heading 7"/>
    <w:basedOn w:val="Normal"/>
    <w:next w:val="Normal"/>
    <w:link w:val="Balk7Char"/>
    <w:uiPriority w:val="9"/>
    <w:semiHidden/>
    <w:unhideWhenUsed/>
    <w:qFormat/>
    <w:rsid w:val="009B0A29"/>
    <w:pPr>
      <w:keepNext/>
      <w:keepLines/>
      <w:spacing w:before="40" w:after="0"/>
      <w:outlineLvl w:val="6"/>
    </w:pPr>
    <w:rPr>
      <w:rFonts w:asciiTheme="minorHAnsi" w:eastAsiaTheme="majorEastAsia" w:hAnsiTheme="minorHAnsi" w:cstheme="majorBidi"/>
      <w:color w:val="595959" w:themeColor="text1" w:themeTint="A6"/>
    </w:rPr>
  </w:style>
  <w:style w:type="paragraph" w:styleId="Balk8">
    <w:name w:val="heading 8"/>
    <w:basedOn w:val="Normal"/>
    <w:next w:val="Normal"/>
    <w:link w:val="Balk8Char"/>
    <w:uiPriority w:val="9"/>
    <w:semiHidden/>
    <w:unhideWhenUsed/>
    <w:qFormat/>
    <w:rsid w:val="009B0A29"/>
    <w:pPr>
      <w:keepNext/>
      <w:keepLines/>
      <w:spacing w:after="0"/>
      <w:outlineLvl w:val="7"/>
    </w:pPr>
    <w:rPr>
      <w:rFonts w:asciiTheme="minorHAnsi" w:eastAsiaTheme="majorEastAsia" w:hAnsiTheme="minorHAnsi" w:cstheme="majorBidi"/>
      <w:i/>
      <w:iCs/>
      <w:color w:val="272727" w:themeColor="text1" w:themeTint="D8"/>
    </w:rPr>
  </w:style>
  <w:style w:type="paragraph" w:styleId="Balk9">
    <w:name w:val="heading 9"/>
    <w:basedOn w:val="Normal"/>
    <w:next w:val="Normal"/>
    <w:link w:val="Balk9Char"/>
    <w:uiPriority w:val="9"/>
    <w:semiHidden/>
    <w:unhideWhenUsed/>
    <w:qFormat/>
    <w:rsid w:val="009B0A29"/>
    <w:pPr>
      <w:keepNext/>
      <w:keepLines/>
      <w:spacing w:after="0"/>
      <w:outlineLvl w:val="8"/>
    </w:pPr>
    <w:rPr>
      <w:rFonts w:asciiTheme="minorHAnsi" w:eastAsiaTheme="majorEastAsia" w:hAnsiTheme="minorHAnsi"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B0A29"/>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9B0A29"/>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9B0A29"/>
    <w:rPr>
      <w:rFonts w:asciiTheme="minorHAnsi" w:eastAsiaTheme="majorEastAsia" w:hAnsiTheme="minorHAnsi"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9B0A29"/>
    <w:rPr>
      <w:rFonts w:asciiTheme="minorHAnsi" w:eastAsiaTheme="majorEastAsia" w:hAnsiTheme="minorHAnsi" w:cstheme="majorBidi"/>
      <w:i/>
      <w:iCs/>
      <w:color w:val="0F4761" w:themeColor="accent1" w:themeShade="BF"/>
    </w:rPr>
  </w:style>
  <w:style w:type="character" w:customStyle="1" w:styleId="Balk5Char">
    <w:name w:val="Başlık 5 Char"/>
    <w:basedOn w:val="VarsaylanParagrafYazTipi"/>
    <w:link w:val="Balk5"/>
    <w:uiPriority w:val="9"/>
    <w:semiHidden/>
    <w:rsid w:val="009B0A29"/>
    <w:rPr>
      <w:rFonts w:asciiTheme="minorHAnsi" w:eastAsiaTheme="majorEastAsia" w:hAnsiTheme="minorHAnsi" w:cstheme="majorBidi"/>
      <w:color w:val="0F4761" w:themeColor="accent1" w:themeShade="BF"/>
    </w:rPr>
  </w:style>
  <w:style w:type="character" w:customStyle="1" w:styleId="Balk6Char">
    <w:name w:val="Başlık 6 Char"/>
    <w:basedOn w:val="VarsaylanParagrafYazTipi"/>
    <w:link w:val="Balk6"/>
    <w:uiPriority w:val="9"/>
    <w:semiHidden/>
    <w:rsid w:val="009B0A29"/>
    <w:rPr>
      <w:rFonts w:asciiTheme="minorHAnsi" w:eastAsiaTheme="majorEastAsia" w:hAnsiTheme="minorHAnsi" w:cstheme="majorBidi"/>
      <w:i/>
      <w:iCs/>
      <w:color w:val="595959" w:themeColor="text1" w:themeTint="A6"/>
    </w:rPr>
  </w:style>
  <w:style w:type="character" w:customStyle="1" w:styleId="Balk7Char">
    <w:name w:val="Başlık 7 Char"/>
    <w:basedOn w:val="VarsaylanParagrafYazTipi"/>
    <w:link w:val="Balk7"/>
    <w:uiPriority w:val="9"/>
    <w:semiHidden/>
    <w:rsid w:val="009B0A29"/>
    <w:rPr>
      <w:rFonts w:asciiTheme="minorHAnsi" w:eastAsiaTheme="majorEastAsia" w:hAnsiTheme="minorHAnsi" w:cstheme="majorBidi"/>
      <w:color w:val="595959" w:themeColor="text1" w:themeTint="A6"/>
    </w:rPr>
  </w:style>
  <w:style w:type="character" w:customStyle="1" w:styleId="Balk8Char">
    <w:name w:val="Başlık 8 Char"/>
    <w:basedOn w:val="VarsaylanParagrafYazTipi"/>
    <w:link w:val="Balk8"/>
    <w:uiPriority w:val="9"/>
    <w:semiHidden/>
    <w:rsid w:val="009B0A29"/>
    <w:rPr>
      <w:rFonts w:asciiTheme="minorHAnsi" w:eastAsiaTheme="majorEastAsia" w:hAnsiTheme="minorHAnsi" w:cstheme="majorBidi"/>
      <w:i/>
      <w:iCs/>
      <w:color w:val="272727" w:themeColor="text1" w:themeTint="D8"/>
    </w:rPr>
  </w:style>
  <w:style w:type="character" w:customStyle="1" w:styleId="Balk9Char">
    <w:name w:val="Başlık 9 Char"/>
    <w:basedOn w:val="VarsaylanParagrafYazTipi"/>
    <w:link w:val="Balk9"/>
    <w:uiPriority w:val="9"/>
    <w:semiHidden/>
    <w:rsid w:val="009B0A29"/>
    <w:rPr>
      <w:rFonts w:asciiTheme="minorHAnsi" w:eastAsiaTheme="majorEastAsia" w:hAnsiTheme="minorHAnsi" w:cstheme="majorBidi"/>
      <w:color w:val="272727" w:themeColor="text1" w:themeTint="D8"/>
    </w:rPr>
  </w:style>
  <w:style w:type="paragraph" w:styleId="KonuBal">
    <w:name w:val="Title"/>
    <w:basedOn w:val="Normal"/>
    <w:next w:val="Normal"/>
    <w:link w:val="KonuBalChar"/>
    <w:uiPriority w:val="10"/>
    <w:qFormat/>
    <w:rsid w:val="009B0A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B0A29"/>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9B0A29"/>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9B0A29"/>
    <w:rPr>
      <w:rFonts w:asciiTheme="minorHAnsi" w:eastAsiaTheme="majorEastAsia" w:hAnsiTheme="minorHAnsi" w:cstheme="majorBidi"/>
      <w:color w:val="595959" w:themeColor="text1" w:themeTint="A6"/>
      <w:spacing w:val="15"/>
      <w:sz w:val="28"/>
      <w:szCs w:val="28"/>
    </w:rPr>
  </w:style>
  <w:style w:type="paragraph" w:styleId="Alnt">
    <w:name w:val="Quote"/>
    <w:basedOn w:val="Normal"/>
    <w:next w:val="Normal"/>
    <w:link w:val="AlntChar"/>
    <w:uiPriority w:val="29"/>
    <w:qFormat/>
    <w:rsid w:val="009B0A29"/>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9B0A29"/>
    <w:rPr>
      <w:i/>
      <w:iCs/>
      <w:color w:val="404040" w:themeColor="text1" w:themeTint="BF"/>
    </w:rPr>
  </w:style>
  <w:style w:type="paragraph" w:styleId="ListeParagraf">
    <w:name w:val="List Paragraph"/>
    <w:basedOn w:val="Normal"/>
    <w:uiPriority w:val="34"/>
    <w:qFormat/>
    <w:rsid w:val="009B0A29"/>
    <w:pPr>
      <w:ind w:left="720"/>
      <w:contextualSpacing/>
    </w:pPr>
  </w:style>
  <w:style w:type="character" w:styleId="GlVurgulama">
    <w:name w:val="Intense Emphasis"/>
    <w:basedOn w:val="VarsaylanParagrafYazTipi"/>
    <w:uiPriority w:val="21"/>
    <w:qFormat/>
    <w:rsid w:val="009B0A29"/>
    <w:rPr>
      <w:i/>
      <w:iCs/>
      <w:color w:val="0F4761" w:themeColor="accent1" w:themeShade="BF"/>
    </w:rPr>
  </w:style>
  <w:style w:type="paragraph" w:styleId="GlAlnt">
    <w:name w:val="Intense Quote"/>
    <w:basedOn w:val="Normal"/>
    <w:next w:val="Normal"/>
    <w:link w:val="GlAlntChar"/>
    <w:uiPriority w:val="30"/>
    <w:qFormat/>
    <w:rsid w:val="009B0A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9B0A29"/>
    <w:rPr>
      <w:i/>
      <w:iCs/>
      <w:color w:val="0F4761" w:themeColor="accent1" w:themeShade="BF"/>
    </w:rPr>
  </w:style>
  <w:style w:type="character" w:styleId="GlBavuru">
    <w:name w:val="Intense Reference"/>
    <w:basedOn w:val="VarsaylanParagrafYazTipi"/>
    <w:uiPriority w:val="32"/>
    <w:qFormat/>
    <w:rsid w:val="009B0A29"/>
    <w:rPr>
      <w:b/>
      <w:bCs/>
      <w:smallCaps/>
      <w:color w:val="0F4761" w:themeColor="accent1" w:themeShade="BF"/>
      <w:spacing w:val="5"/>
    </w:rPr>
  </w:style>
  <w:style w:type="paragraph" w:styleId="NormalWeb">
    <w:name w:val="Normal (Web)"/>
    <w:basedOn w:val="Normal"/>
    <w:uiPriority w:val="99"/>
    <w:semiHidden/>
    <w:unhideWhenUsed/>
    <w:rsid w:val="009B0A29"/>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balk11pt">
    <w:name w:val="balk11pt"/>
    <w:basedOn w:val="Normal"/>
    <w:rsid w:val="009B0A29"/>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ortabalkbold">
    <w:name w:val="ortabalkbold"/>
    <w:basedOn w:val="Normal"/>
    <w:rsid w:val="009B0A29"/>
    <w:pPr>
      <w:spacing w:before="100" w:beforeAutospacing="1" w:after="100" w:afterAutospacing="1" w:line="240" w:lineRule="auto"/>
    </w:pPr>
    <w:rPr>
      <w:rFonts w:eastAsia="Times New Roman" w:cs="Times New Roman"/>
      <w:kern w:val="0"/>
      <w:sz w:val="24"/>
      <w:szCs w:val="24"/>
      <w:lang w:eastAsia="tr-TR"/>
      <w14:ligatures w14:val="none"/>
    </w:rPr>
  </w:style>
  <w:style w:type="paragraph" w:customStyle="1" w:styleId="metin">
    <w:name w:val="metin"/>
    <w:basedOn w:val="Normal"/>
    <w:rsid w:val="009B0A29"/>
    <w:pPr>
      <w:spacing w:before="100" w:beforeAutospacing="1" w:after="100" w:afterAutospacing="1" w:line="240" w:lineRule="auto"/>
    </w:pPr>
    <w:rPr>
      <w:rFonts w:eastAsia="Times New Roman" w:cs="Times New Roman"/>
      <w:kern w:val="0"/>
      <w:sz w:val="24"/>
      <w:szCs w:val="24"/>
      <w:lang w:eastAsia="tr-TR"/>
      <w14:ligatures w14:val="none"/>
    </w:rPr>
  </w:style>
  <w:style w:type="character" w:customStyle="1" w:styleId="grame">
    <w:name w:val="grame"/>
    <w:basedOn w:val="VarsaylanParagrafYazTipi"/>
    <w:rsid w:val="009B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0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1655</Words>
  <Characters>9439</Characters>
  <Application>Microsoft Office Word</Application>
  <DocSecurity>0</DocSecurity>
  <Lines>78</Lines>
  <Paragraphs>22</Paragraphs>
  <ScaleCrop>false</ScaleCrop>
  <Company/>
  <LinksUpToDate>false</LinksUpToDate>
  <CharactersWithSpaces>11072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 Bağımsız</dc:creator>
  <cp:keywords/>
  <dc:description/>
  <cp:lastModifiedBy>AS Nexia</cp:lastModifiedBy>
  <cp:revision>2</cp:revision>
  <dcterms:created xsi:type="dcterms:W3CDTF">2024-01-18T13:45:00Z</dcterms:created>
  <dcterms:modified xsi:type="dcterms:W3CDTF">2024-01-18T13:45:00Z</dcterms:modified>
</cp:coreProperties>
</file>